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8" w:rsidRPr="00315EB7" w:rsidRDefault="005F6538" w:rsidP="00315EB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315EB7">
        <w:rPr>
          <w:b/>
          <w:sz w:val="28"/>
          <w:szCs w:val="28"/>
          <w:shd w:val="clear" w:color="auto" w:fill="FFFFFF"/>
        </w:rPr>
        <w:t xml:space="preserve">Рекомендации </w:t>
      </w:r>
      <w:r w:rsidRPr="00315EB7">
        <w:rPr>
          <w:b/>
          <w:sz w:val="28"/>
          <w:szCs w:val="28"/>
        </w:rPr>
        <w:t xml:space="preserve"> для родителей</w:t>
      </w:r>
    </w:p>
    <w:p w:rsidR="005F6538" w:rsidRPr="00315EB7" w:rsidRDefault="005F6538" w:rsidP="00315EB7">
      <w:pPr>
        <w:ind w:firstLine="709"/>
        <w:jc w:val="center"/>
        <w:rPr>
          <w:b/>
          <w:sz w:val="28"/>
          <w:szCs w:val="28"/>
        </w:rPr>
      </w:pPr>
      <w:r w:rsidRPr="00315EB7">
        <w:rPr>
          <w:b/>
          <w:sz w:val="28"/>
          <w:szCs w:val="28"/>
        </w:rPr>
        <w:t>по обсуждению проблем дошкольного питания</w:t>
      </w:r>
      <w:bookmarkEnd w:id="0"/>
    </w:p>
    <w:p w:rsidR="005F6538" w:rsidRPr="00315EB7" w:rsidRDefault="005F6538" w:rsidP="00315EB7">
      <w:pPr>
        <w:ind w:firstLine="709"/>
        <w:jc w:val="both"/>
        <w:rPr>
          <w:b/>
          <w:sz w:val="28"/>
          <w:szCs w:val="28"/>
        </w:rPr>
      </w:pP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iCs/>
          <w:color w:val="000000"/>
          <w:sz w:val="28"/>
          <w:szCs w:val="28"/>
        </w:rPr>
        <w:t>Питание детей 3-7 лет должно быть организовано таким образом, чтобы обеспечить нормальный рост и развитие детского организма, подготовить мышцы, кости и мозг к резкому возрастанию умственных и физических нагрузок и изменению режима, связанному с началом учебы в школе.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Для этого важно соблюдать несколько </w:t>
      </w:r>
      <w:r w:rsidRPr="00315EB7">
        <w:rPr>
          <w:b/>
          <w:bCs/>
          <w:color w:val="000000"/>
          <w:sz w:val="28"/>
          <w:szCs w:val="28"/>
        </w:rPr>
        <w:t>основных принципов</w:t>
      </w:r>
      <w:r w:rsidRPr="00315EB7">
        <w:rPr>
          <w:color w:val="000000"/>
          <w:sz w:val="28"/>
          <w:szCs w:val="28"/>
        </w:rPr>
        <w:t> питания:</w:t>
      </w:r>
    </w:p>
    <w:p w:rsidR="005F6538" w:rsidRPr="00315EB7" w:rsidRDefault="005F6538" w:rsidP="00315EB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5F6538" w:rsidRPr="00315EB7" w:rsidRDefault="005F6538" w:rsidP="00315EB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Питание должно быть сбалансированным, содержать пищевые вещества всех типов (так называемые нутриенты).</w:t>
      </w:r>
    </w:p>
    <w:p w:rsidR="005F6538" w:rsidRPr="00315EB7" w:rsidRDefault="005F6538" w:rsidP="00315EB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5F6538" w:rsidRPr="00315EB7" w:rsidRDefault="005F6538" w:rsidP="00315EB7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Рассмотрим эти принципы подробнее.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b/>
          <w:bCs/>
          <w:color w:val="000000"/>
          <w:sz w:val="28"/>
          <w:szCs w:val="28"/>
        </w:rPr>
        <w:t>Энергетическая "емкость"</w:t>
      </w:r>
      <w:r w:rsidRPr="00315EB7">
        <w:rPr>
          <w:color w:val="000000"/>
          <w:sz w:val="28"/>
          <w:szCs w:val="28"/>
        </w:rPr>
        <w:t xml:space="preserve"> пищи измеряется в калориях. 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1"/>
        <w:gridCol w:w="1815"/>
        <w:gridCol w:w="2322"/>
        <w:gridCol w:w="1527"/>
      </w:tblGrid>
      <w:tr w:rsidR="005F6538" w:rsidRPr="00315EB7" w:rsidTr="00EE645E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4 - 6 лет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7 лет</w:t>
            </w:r>
          </w:p>
        </w:tc>
      </w:tr>
      <w:tr w:rsidR="005F6538" w:rsidRPr="00315EB7" w:rsidTr="00EE645E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 xml:space="preserve">Энергия, </w:t>
            </w:r>
            <w:proofErr w:type="gramStart"/>
            <w:r w:rsidRPr="00315EB7">
              <w:rPr>
                <w:color w:val="000000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2350</w:t>
            </w:r>
          </w:p>
        </w:tc>
      </w:tr>
      <w:tr w:rsidR="005F6538" w:rsidRPr="00315EB7" w:rsidTr="00EE645E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315EB7">
              <w:rPr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77</w:t>
            </w:r>
          </w:p>
        </w:tc>
      </w:tr>
      <w:tr w:rsidR="005F6538" w:rsidRPr="00315EB7" w:rsidTr="00EE645E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315EB7">
              <w:rPr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79</w:t>
            </w:r>
          </w:p>
        </w:tc>
      </w:tr>
      <w:tr w:rsidR="005F6538" w:rsidRPr="00315EB7" w:rsidTr="00EE645E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315EB7">
              <w:rPr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6538" w:rsidRPr="00315EB7" w:rsidRDefault="005F6538" w:rsidP="00315EB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15EB7">
              <w:rPr>
                <w:color w:val="000000"/>
                <w:sz w:val="28"/>
                <w:szCs w:val="28"/>
              </w:rPr>
              <w:t>335</w:t>
            </w:r>
          </w:p>
        </w:tc>
      </w:tr>
    </w:tbl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1" w:name="belki"/>
      <w:bookmarkEnd w:id="1"/>
      <w:r w:rsidRPr="00315EB7">
        <w:rPr>
          <w:color w:val="000000"/>
          <w:sz w:val="28"/>
          <w:szCs w:val="28"/>
        </w:rPr>
        <w:t>Белки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 ребенка</w:t>
      </w:r>
    </w:p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2" w:name="zhiry"/>
      <w:bookmarkEnd w:id="2"/>
      <w:r w:rsidRPr="00315EB7">
        <w:rPr>
          <w:color w:val="000000"/>
          <w:sz w:val="28"/>
          <w:szCs w:val="28"/>
        </w:rPr>
        <w:t>Жиры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Источники жиров - это масло сливочное и растительное, сливки, молоко, молочные продукты (сметана, творог, сыр), а также мясо, рыба и др. Повышенное потребление продуктов с высоким содержанием жиров нежелательно.</w:t>
      </w:r>
    </w:p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3" w:name="uglevody"/>
      <w:bookmarkEnd w:id="3"/>
      <w:r w:rsidRPr="00315EB7">
        <w:rPr>
          <w:color w:val="000000"/>
          <w:sz w:val="28"/>
          <w:szCs w:val="28"/>
        </w:rPr>
        <w:t>Углеводы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15EB7">
        <w:rPr>
          <w:color w:val="000000"/>
          <w:sz w:val="28"/>
          <w:szCs w:val="28"/>
        </w:rPr>
        <w:t>Источники углеводов - это сахар, все сладкое, в том числе фрукты, кондитерские изделия, далее - овощи, хлеб, крупы, молочный сахар, содержащийся в молоке.</w:t>
      </w:r>
      <w:proofErr w:type="gramEnd"/>
      <w:r w:rsidRPr="00315EB7">
        <w:rPr>
          <w:color w:val="000000"/>
          <w:sz w:val="28"/>
          <w:szCs w:val="28"/>
        </w:rPr>
        <w:t xml:space="preserve"> Роль углеводов важна для работы мышц.</w:t>
      </w:r>
    </w:p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4" w:name="mineralnye-soli-i-mikrojelementy"/>
      <w:bookmarkEnd w:id="4"/>
      <w:r w:rsidRPr="00315EB7">
        <w:rPr>
          <w:color w:val="000000"/>
          <w:sz w:val="28"/>
          <w:szCs w:val="28"/>
        </w:rPr>
        <w:t>Минеральные соли и микроэлементы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sz w:val="28"/>
          <w:szCs w:val="28"/>
        </w:rPr>
      </w:pPr>
      <w:r w:rsidRPr="00315EB7">
        <w:rPr>
          <w:color w:val="000000"/>
          <w:sz w:val="28"/>
          <w:szCs w:val="28"/>
        </w:rPr>
        <w:t xml:space="preserve">Минеральные </w:t>
      </w:r>
      <w:proofErr w:type="gramStart"/>
      <w:r w:rsidRPr="00315EB7">
        <w:rPr>
          <w:color w:val="000000"/>
          <w:sz w:val="28"/>
          <w:szCs w:val="28"/>
        </w:rPr>
        <w:t>соли</w:t>
      </w:r>
      <w:proofErr w:type="gramEnd"/>
      <w:r w:rsidRPr="00315EB7">
        <w:rPr>
          <w:color w:val="000000"/>
          <w:sz w:val="28"/>
          <w:szCs w:val="28"/>
        </w:rPr>
        <w:t xml:space="preserve"> и микроэлементы являются строительным материалом для органов, тканей, клеток и их компонентов. Обеспечить их </w:t>
      </w:r>
      <w:r w:rsidRPr="00315EB7">
        <w:rPr>
          <w:color w:val="000000"/>
          <w:sz w:val="28"/>
          <w:szCs w:val="28"/>
        </w:rPr>
        <w:lastRenderedPageBreak/>
        <w:t>поступление в организм особенно важно в период активного роста и </w:t>
      </w:r>
      <w:hyperlink r:id="rId5" w:tooltip="Календарь развития ребенка" w:history="1">
        <w:r w:rsidRPr="00315EB7">
          <w:rPr>
            <w:bCs/>
            <w:sz w:val="28"/>
            <w:szCs w:val="28"/>
          </w:rPr>
          <w:t>развития ребенка</w:t>
        </w:r>
      </w:hyperlink>
      <w:r w:rsidRPr="00315EB7">
        <w:rPr>
          <w:sz w:val="28"/>
          <w:szCs w:val="28"/>
        </w:rPr>
        <w:t>.</w:t>
      </w:r>
    </w:p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5" w:name="vitaminy"/>
      <w:bookmarkEnd w:id="5"/>
      <w:r w:rsidRPr="00315EB7">
        <w:rPr>
          <w:color w:val="000000"/>
          <w:sz w:val="28"/>
          <w:szCs w:val="28"/>
        </w:rPr>
        <w:t>Витамины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Для правильного роста и развития ребенку необходима пища, богатая </w:t>
      </w:r>
      <w:r w:rsidRPr="00315EB7">
        <w:rPr>
          <w:b/>
          <w:bCs/>
          <w:color w:val="000000"/>
          <w:sz w:val="28"/>
          <w:szCs w:val="28"/>
        </w:rPr>
        <w:t>витаминами</w:t>
      </w:r>
      <w:r w:rsidRPr="00315EB7">
        <w:rPr>
          <w:color w:val="000000"/>
          <w:sz w:val="28"/>
          <w:szCs w:val="28"/>
        </w:rPr>
        <w:t>.</w:t>
      </w:r>
      <w:r w:rsidR="00315EB7">
        <w:rPr>
          <w:color w:val="000000"/>
          <w:sz w:val="28"/>
          <w:szCs w:val="28"/>
        </w:rPr>
        <w:t xml:space="preserve"> </w:t>
      </w:r>
      <w:r w:rsidRPr="00315EB7">
        <w:rPr>
          <w:color w:val="000000"/>
          <w:sz w:val="28"/>
          <w:szCs w:val="28"/>
        </w:rPr>
        <w:t>Они являются эффективными природными регуляторами физиологических и биохимических процессов, обеспечивающих протекание большинства жизненно важных функций организма, работы его органов и систем.</w:t>
      </w:r>
    </w:p>
    <w:p w:rsidR="005F6538" w:rsidRPr="00315EB7" w:rsidRDefault="005F6538" w:rsidP="00315EB7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bookmarkStart w:id="6" w:name="racion"/>
      <w:bookmarkEnd w:id="6"/>
      <w:r w:rsidRPr="00315EB7">
        <w:rPr>
          <w:color w:val="000000"/>
          <w:sz w:val="28"/>
          <w:szCs w:val="28"/>
        </w:rPr>
        <w:t>Рацион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В соответствии с перечисленными принципами организации питания, рацион ребенка должен включать все основные группы продуктов.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Из </w:t>
      </w:r>
      <w:r w:rsidRPr="00315EB7">
        <w:rPr>
          <w:b/>
          <w:bCs/>
          <w:color w:val="000000"/>
          <w:sz w:val="28"/>
          <w:szCs w:val="28"/>
        </w:rPr>
        <w:t>мяса</w:t>
      </w:r>
      <w:r w:rsidRPr="00315EB7">
        <w:rPr>
          <w:color w:val="000000"/>
          <w:sz w:val="28"/>
          <w:szCs w:val="28"/>
        </w:rPr>
        <w:t> 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Рекомендуемые сорта </w:t>
      </w:r>
      <w:r w:rsidRPr="00315EB7">
        <w:rPr>
          <w:b/>
          <w:bCs/>
          <w:color w:val="000000"/>
          <w:sz w:val="28"/>
          <w:szCs w:val="28"/>
        </w:rPr>
        <w:t>рыбы</w:t>
      </w:r>
      <w:r w:rsidRPr="00315EB7">
        <w:rPr>
          <w:color w:val="000000"/>
          <w:sz w:val="28"/>
          <w:szCs w:val="28"/>
        </w:rPr>
        <w:t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Особое место в </w:t>
      </w:r>
      <w:hyperlink r:id="rId6" w:tooltip="Рейтинг детского питания" w:history="1">
        <w:r w:rsidRPr="00315EB7">
          <w:rPr>
            <w:b/>
            <w:bCs/>
            <w:color w:val="888888"/>
            <w:sz w:val="28"/>
            <w:szCs w:val="28"/>
          </w:rPr>
          <w:t>детском питании</w:t>
        </w:r>
      </w:hyperlink>
      <w:r w:rsidRPr="00315EB7">
        <w:rPr>
          <w:color w:val="000000"/>
          <w:sz w:val="28"/>
          <w:szCs w:val="28"/>
        </w:rPr>
        <w:t> занимают </w:t>
      </w:r>
      <w:r w:rsidRPr="00315EB7">
        <w:rPr>
          <w:b/>
          <w:bCs/>
          <w:color w:val="000000"/>
          <w:sz w:val="28"/>
          <w:szCs w:val="28"/>
        </w:rPr>
        <w:t>молоко и молочные продукты</w:t>
      </w:r>
      <w:r w:rsidRPr="00315EB7">
        <w:rPr>
          <w:color w:val="000000"/>
          <w:sz w:val="28"/>
          <w:szCs w:val="28"/>
        </w:rPr>
        <w:t>. Это не только источник легкоусвояемого кальция и витамина В</w:t>
      </w:r>
      <w:proofErr w:type="gramStart"/>
      <w:r w:rsidRPr="00315EB7">
        <w:rPr>
          <w:color w:val="000000"/>
          <w:sz w:val="28"/>
          <w:szCs w:val="28"/>
        </w:rPr>
        <w:t>2</w:t>
      </w:r>
      <w:proofErr w:type="gramEnd"/>
      <w:r w:rsidRPr="00315EB7">
        <w:rPr>
          <w:color w:val="000000"/>
          <w:sz w:val="28"/>
          <w:szCs w:val="28"/>
        </w:rPr>
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b/>
          <w:bCs/>
          <w:color w:val="000000"/>
          <w:sz w:val="28"/>
          <w:szCs w:val="28"/>
        </w:rPr>
        <w:t>Фрукты, овощи, плодоовощные соки</w:t>
      </w:r>
      <w:r w:rsidRPr="00315EB7">
        <w:rPr>
          <w:color w:val="000000"/>
          <w:sz w:val="28"/>
          <w:szCs w:val="28"/>
        </w:rPr>
        <w:t> 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Необходимы </w:t>
      </w:r>
      <w:r w:rsidRPr="00315EB7">
        <w:rPr>
          <w:b/>
          <w:bCs/>
          <w:color w:val="000000"/>
          <w:sz w:val="28"/>
          <w:szCs w:val="28"/>
        </w:rPr>
        <w:t>хлеб, макароны, крупы, растительные и животные жиры</w:t>
      </w:r>
      <w:r w:rsidRPr="00315EB7">
        <w:rPr>
          <w:color w:val="000000"/>
          <w:sz w:val="28"/>
          <w:szCs w:val="28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5F6538" w:rsidRPr="00315EB7" w:rsidRDefault="005F6538" w:rsidP="00315E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5EB7">
        <w:rPr>
          <w:color w:val="000000"/>
          <w:sz w:val="28"/>
          <w:szCs w:val="28"/>
        </w:rPr>
        <w:t>Однако правильного подбора продуктов недостаточно. Учитывая незрелость пищеварительных органов ребенка, продукты нуждаются в щадящей кулинарной обработке. Кроме того, необходимо стремиться к тому, чтобы готовое блюдо было красивым, вкусным и ароматным.</w:t>
      </w:r>
    </w:p>
    <w:p w:rsidR="005F6538" w:rsidRPr="00315EB7" w:rsidRDefault="005F6538" w:rsidP="00315EB7">
      <w:pPr>
        <w:ind w:firstLine="709"/>
        <w:jc w:val="both"/>
        <w:rPr>
          <w:sz w:val="28"/>
          <w:szCs w:val="28"/>
        </w:rPr>
      </w:pPr>
    </w:p>
    <w:p w:rsidR="00F320EF" w:rsidRPr="00315EB7" w:rsidRDefault="00F320EF" w:rsidP="00315EB7">
      <w:pPr>
        <w:ind w:firstLine="709"/>
        <w:jc w:val="both"/>
        <w:rPr>
          <w:sz w:val="28"/>
          <w:szCs w:val="28"/>
        </w:rPr>
      </w:pPr>
    </w:p>
    <w:sectPr w:rsidR="00F320EF" w:rsidRPr="00315EB7" w:rsidSect="0015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0AD"/>
    <w:multiLevelType w:val="multilevel"/>
    <w:tmpl w:val="FA4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538"/>
    <w:rsid w:val="00155482"/>
    <w:rsid w:val="00315EB7"/>
    <w:rsid w:val="005F6538"/>
    <w:rsid w:val="00F3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tings.7ya.ru/babyfood/" TargetMode="External"/><Relationship Id="rId5" Type="http://schemas.openxmlformats.org/officeDocument/2006/relationships/hyperlink" Target="http://www.7ya.ru/babygrow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3</cp:revision>
  <dcterms:created xsi:type="dcterms:W3CDTF">2018-01-09T15:51:00Z</dcterms:created>
  <dcterms:modified xsi:type="dcterms:W3CDTF">2018-01-10T08:21:00Z</dcterms:modified>
</cp:coreProperties>
</file>